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8D" w:rsidRDefault="0093198D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3198D" w:rsidRPr="0093198D" w:rsidRDefault="0093198D" w:rsidP="009319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93198D">
        <w:rPr>
          <w:rFonts w:ascii="Verdana" w:hAnsi="Verdana" w:cs="Verdana"/>
          <w:b/>
          <w:color w:val="000000"/>
          <w:sz w:val="20"/>
          <w:szCs w:val="20"/>
        </w:rPr>
        <w:t>HASAN KALYONCU ÜNİVERSİTESİ HUKUK FAKÜLTESİ</w:t>
      </w:r>
    </w:p>
    <w:p w:rsidR="0093198D" w:rsidRPr="0093198D" w:rsidRDefault="00B7384B" w:rsidP="009319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İŞ VE SOSYAL GÜVENLİK HUKUKU II </w:t>
      </w:r>
      <w:bookmarkStart w:id="0" w:name="_GoBack"/>
      <w:bookmarkEnd w:id="0"/>
      <w:r w:rsidR="0093198D" w:rsidRPr="0093198D">
        <w:rPr>
          <w:rFonts w:ascii="Verdana" w:hAnsi="Verdana" w:cs="Verdana"/>
          <w:b/>
          <w:color w:val="000000"/>
          <w:sz w:val="20"/>
          <w:szCs w:val="20"/>
        </w:rPr>
        <w:t>BÜTÜNLEME SORULARI</w:t>
      </w:r>
    </w:p>
    <w:p w:rsidR="0093198D" w:rsidRDefault="0093198D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E02" w:rsidRDefault="00750E02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21. Hukuk Dairesi 2018/7306 E. , 2019/6557 K.</w:t>
      </w:r>
    </w:p>
    <w:p w:rsidR="00750E02" w:rsidRPr="00694FEC" w:rsidRDefault="00694FEC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İçtihat Metni</w:t>
      </w:r>
    </w:p>
    <w:p w:rsidR="00750E02" w:rsidRDefault="00750E02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MAHKEMESİ: Bölge Adliye Mahkemesi 33. Hukuk Dairesi</w:t>
      </w:r>
    </w:p>
    <w:p w:rsidR="00750E02" w:rsidRDefault="00750E02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İLK DERECE</w:t>
      </w:r>
    </w:p>
    <w:p w:rsidR="00750E02" w:rsidRDefault="00750E02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MAHKEMESİ: İş Mahkemesi</w:t>
      </w:r>
    </w:p>
    <w:p w:rsidR="00750E02" w:rsidRPr="00694FEC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A)Davacı İstemi: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Davacı,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mütevvefa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eşinin askerlik borçlanması sonrası, ölüm tarihinden itibaren ölüm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aylığıbağlanmasını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talep etmiştir.</w:t>
      </w:r>
    </w:p>
    <w:p w:rsidR="00750E02" w:rsidRPr="00694FEC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B)Davalı Cevabı: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Davanın reddini talep etmiştir.</w:t>
      </w:r>
    </w:p>
    <w:p w:rsidR="00750E02" w:rsidRPr="00694FEC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C)İlk Derece Mahkemesi Gerekçesi ve Kararı: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Davanın kabulü ile talep tarihinden itibaren aylık bağlanmasına karar vermiştir.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İstinaf Başvurusu;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SGK vekili; tüm borçlanmalar hariç miras bırakanı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n 900 gün primi bulunmadığından </w:t>
      </w:r>
      <w:r>
        <w:rPr>
          <w:rFonts w:ascii="Verdana" w:hAnsi="Verdana" w:cs="Verdana"/>
          <w:color w:val="000000"/>
          <w:sz w:val="20"/>
          <w:szCs w:val="20"/>
        </w:rPr>
        <w:t>davanın reddine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karar verilmesi gerektiğini ileri sürmüştür.</w:t>
      </w:r>
    </w:p>
    <w:p w:rsidR="00750E02" w:rsidRPr="00694FEC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D)Bölge Adliye Mahkemesi Gerekçesi ve Kararı: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Bölge Adliye Mahkemesince " ...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davacının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murisinin 5510 sayılı Yasa'nın 4/a kapsamında her türlü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borçlanma süresi hariç 5 yıllık sigortalılık süresini doldurduğu ve 900 gün prim ödeme koşulunun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gerçekleştiği; aynı yasanın 32/II-a maddesinde ''her türlü borçlanma süreleri hariç en az 5 yıldan beri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sigortalı bulunup,'' ifadesine yer verilerek virgül konulduktan sonra ''toplam 900 gün malullük, yaşlılık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 ölüm sigortaları primi bildirilmiş durumda iken ölen sigortalı'' ifadesine yer verilmiş olması nedeniyle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her türlü borçlanma süresinin hariç tutulması durumunun sadece ve yalnızca 5 yıldan beri sigortalı olma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koşulu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için geçerli olduğu, maddedeki noktalama işaretlerinin kullanıldığı yer ve yasanın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ruhu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göz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önünde bulundurulduğunda, Kurum işleminin hatalı olduğu " gerekçesiyle "davalı Kurumun istinaf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isteminin esastan reddine" karar verilmiştir.</w:t>
      </w:r>
    </w:p>
    <w:p w:rsidR="00750E02" w:rsidRPr="00694FEC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E)Temyiz:</w:t>
      </w:r>
    </w:p>
    <w:p w:rsidR="00750E02" w:rsidRDefault="00DE1183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SGK Vekili</w:t>
      </w:r>
      <w:r w:rsidR="00750E02">
        <w:rPr>
          <w:rFonts w:ascii="Verdana" w:hAnsi="Verdana" w:cs="Verdana"/>
          <w:color w:val="000000"/>
          <w:sz w:val="20"/>
          <w:szCs w:val="20"/>
        </w:rPr>
        <w:t>; tüm borçlanmalar hariç miras bıra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kanın 900 gün primi bulunmadığı  </w:t>
      </w:r>
      <w:r w:rsidR="00750E02">
        <w:rPr>
          <w:rFonts w:ascii="Verdana" w:hAnsi="Verdana" w:cs="Verdana"/>
          <w:color w:val="000000"/>
          <w:sz w:val="20"/>
          <w:szCs w:val="20"/>
        </w:rPr>
        <w:t>gerekçesiyle temyiz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50E02">
        <w:rPr>
          <w:rFonts w:ascii="Verdana" w:hAnsi="Verdana" w:cs="Verdana"/>
          <w:color w:val="000000"/>
          <w:sz w:val="20"/>
          <w:szCs w:val="20"/>
        </w:rPr>
        <w:t>yoluna başvurmuştur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Davacı Vekili; ölüm tarihi itibariyle maaş bağlanmasını talep ettikleri, yerel mahkeme kararını istinaf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etseler de değerlendirmeye alınmadığı gerekçesiyle temyiz yoluna başvurmuştur.</w:t>
      </w:r>
    </w:p>
    <w:p w:rsidR="00750E02" w:rsidRPr="00694FEC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694FEC">
        <w:rPr>
          <w:rFonts w:ascii="Verdana" w:hAnsi="Verdana" w:cs="Verdana"/>
          <w:b/>
          <w:color w:val="000000"/>
          <w:sz w:val="20"/>
          <w:szCs w:val="20"/>
        </w:rPr>
        <w:t>F) Delillerin Değerlendirilmesi ve Gerekçe: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Dosyadaki yazılara, toplanan delillere, hükmün dayandığı gerektirici nedenlere göre davacı vekilinin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tüm temyiz itirazlarının reddine,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SGK'nın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temyizine gelince;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Dosyadaki kayıt ve belgelerden; Müteveffa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sigortalı ...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nin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746 gün 4/1-a, 143 gün 4/1-b olmak üzere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889 gün prim ödeme gün sayısı bulunduğu, davacının müteveffa sigortalının 720 günlük askerlik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süresinin 30 gününü borçlandığı, borçlanma bedelini 408.- TL olarak 14.09.2015 tarihinde ödediği,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borçlanılan 30 gün hizmet süresine eklenerek 919 gün hizmete ulaşıldığı, davacının eşinin 03.08.2010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günü vefat ettiği anlaşılmaktadır.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Hak sahiplerine yönelik ölüm aylığı tahsisinde sosyal 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güvenlik hukuku ilkelerine göre </w:t>
      </w:r>
      <w:r>
        <w:rPr>
          <w:rFonts w:ascii="Verdana" w:hAnsi="Verdana" w:cs="Verdana"/>
          <w:color w:val="000000"/>
          <w:sz w:val="20"/>
          <w:szCs w:val="20"/>
        </w:rPr>
        <w:t>sigortalının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yaşamını yitirdiği tarih itibari ile yürürlükte olan yasal düzenlemenin uygulanması zorunlu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bulunmaktadır.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Davacı murisinin ölüm tarihi olan 03.08.2010 tarihinde 5510 sayılı Yasa yürürlüktedir.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5510 sayılı Yasa'nın "Ölüm sigortasından sağlanan haklar ve yararlanma şartları" başlıklı 32/2-a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maddesinde, Ölüm aylığının en az 1800 gün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malûllük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yaşlılık ve ölüm sigortaları primi bildirilmiş veya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 üncü maddesinin birinci fıkrasının (a) bendi kapsamında sigortalı sayılanlar için, her türlü borçlanma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süreleri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hariç en az 5 yıldan beri sigortalı bulunup, toplam 900 gün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malûllük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yaşlılık ve ölüm sigortaları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primi bildirilmiş durumda iken ölen sigortalının hak sahiplerine, yazılı istekte bulunmaları halinde ölüm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aylığı bağlanacağı bildirilmiştir.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Somut olayda, davacının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murisi ...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nin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her türlü borçlanma süreleri hariç 900 gün prim ödeme şartının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gerçekleşmemiş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olması karşısında davacının askerlik borçlanması ile birlikte ölüm aylığına hak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kazandığının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tespitine karar verilmiş olması usul ve yasaya aykırı olup bozma nedenidir.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 halde davalı Kurum vekilinin bu yönleri amaçlayan temyiz itirazları kabul edilmeli ve hüküm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bozulmalıdır.</w:t>
      </w:r>
    </w:p>
    <w:p w:rsidR="00750E02" w:rsidRDefault="00750E02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694FEC">
        <w:rPr>
          <w:rFonts w:ascii="Verdana" w:hAnsi="Verdana" w:cs="Verdana"/>
          <w:b/>
          <w:color w:val="000000"/>
          <w:sz w:val="20"/>
          <w:szCs w:val="20"/>
        </w:rPr>
        <w:t>SONUÇ: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Temyiz olunan Bölge Adliye Mahkemesi kararının, yukarıda yazılı sebeplerden dolayı 6100 sayılı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HMK'nun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373/1. maddeleri uyarınca (KALDIRILMASINA), ilk derece mahkemesi kararının yukarıda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belirtilen nedenle (BOZULMASINA), dosyanın ilk derece mahkemesine, kararın bir örneğinin de Bölge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Adl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iye Mahkemesine gönderilmesine, </w:t>
      </w:r>
      <w:r>
        <w:rPr>
          <w:rFonts w:ascii="Verdana" w:hAnsi="Verdana" w:cs="Verdana"/>
          <w:color w:val="000000"/>
          <w:sz w:val="20"/>
          <w:szCs w:val="20"/>
        </w:rPr>
        <w:t>aşağıda yazılı temyiz harcının temyiz edene yükletilmesine</w:t>
      </w:r>
      <w:r w:rsidR="00694FE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05/11/2019 tarihinde oy birliğiyle karar verildi.</w:t>
      </w:r>
      <w:proofErr w:type="gramEnd"/>
    </w:p>
    <w:p w:rsidR="00694FEC" w:rsidRDefault="00694FEC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4FEC" w:rsidRPr="00694FEC" w:rsidRDefault="00694FEC" w:rsidP="00694F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Pr="00694FEC">
        <w:rPr>
          <w:rFonts w:ascii="Verdana" w:hAnsi="Verdana" w:cs="Verdana"/>
          <w:b/>
          <w:color w:val="000000"/>
          <w:sz w:val="20"/>
          <w:szCs w:val="20"/>
        </w:rPr>
        <w:t>SORULAR:</w:t>
      </w:r>
    </w:p>
    <w:p w:rsidR="00750E02" w:rsidRDefault="00750E02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E02" w:rsidRDefault="00694FEC" w:rsidP="00694FE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</w:t>
      </w:r>
      <w:r w:rsidR="00750E02">
        <w:rPr>
          <w:rFonts w:ascii="Verdana" w:hAnsi="Verdana" w:cs="Verdana"/>
          <w:color w:val="000000"/>
          <w:sz w:val="20"/>
          <w:szCs w:val="20"/>
        </w:rPr>
        <w:t xml:space="preserve">Yukarıdaki kararı değerlendiriniz. </w:t>
      </w:r>
    </w:p>
    <w:p w:rsidR="00750E02" w:rsidRDefault="00750E02" w:rsidP="00750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E02" w:rsidRDefault="00750E02" w:rsidP="00750E0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İş kazası ve meslek hastalığı sigortasından kaynaklanan ödemelerin kurum tarafından rücu edilebilme şartlarını açıklayınız. </w:t>
      </w:r>
    </w:p>
    <w:p w:rsidR="00750E02" w:rsidRDefault="00750E02" w:rsidP="00750E0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E02" w:rsidRDefault="00750E02" w:rsidP="00750E0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9701BD">
        <w:rPr>
          <w:rFonts w:ascii="Verdana" w:hAnsi="Verdana" w:cs="Verdana"/>
          <w:color w:val="000000"/>
          <w:sz w:val="20"/>
          <w:szCs w:val="20"/>
        </w:rPr>
        <w:t xml:space="preserve">100000 TL peşin değerli gelirin % 60 kusurlu işveren ve makine operatörünün % 30 kusurlu olması halinde müteselsil sorumluluk miktarlarını Yargıtay kararları çerçevesinde değerlendiriniz. </w:t>
      </w:r>
    </w:p>
    <w:p w:rsidR="009701BD" w:rsidRDefault="009701BD" w:rsidP="00750E0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701BD" w:rsidRDefault="009701BD" w:rsidP="00750E0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100000 TL peşin değerli gelirin işverenin süresinde sigorta bildirimi yapmaması ve % 80 kusurlu olması halinde rücu edilebilecek miktarı Yargıtay kararları ile değerlendiriniz. </w:t>
      </w:r>
    </w:p>
    <w:p w:rsidR="009701BD" w:rsidRDefault="009701BD" w:rsidP="00750E0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701BD" w:rsidRDefault="009701BD" w:rsidP="00324A92">
      <w:pPr>
        <w:pStyle w:val="ListeParagraf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r w:rsidR="00324A92">
        <w:rPr>
          <w:rFonts w:ascii="Verdana" w:hAnsi="Verdana" w:cs="Verdana"/>
          <w:color w:val="000000"/>
          <w:sz w:val="20"/>
          <w:szCs w:val="20"/>
        </w:rPr>
        <w:t xml:space="preserve">100000 TL peşin değerli gelirin bulunması ancak hak sahibinin gelirden çıkması nedeniyle fiili ödemenin 80000 TL olması halinde % 80 kusurlu olan işverenin sorumluluğunu belirleyiniz. </w:t>
      </w:r>
    </w:p>
    <w:sectPr w:rsidR="009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04579"/>
    <w:multiLevelType w:val="hybridMultilevel"/>
    <w:tmpl w:val="E646C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2"/>
    <w:rsid w:val="00274F53"/>
    <w:rsid w:val="00324A92"/>
    <w:rsid w:val="00354A2A"/>
    <w:rsid w:val="003E35DE"/>
    <w:rsid w:val="00694FEC"/>
    <w:rsid w:val="00750E02"/>
    <w:rsid w:val="0093198D"/>
    <w:rsid w:val="009701BD"/>
    <w:rsid w:val="00B7384B"/>
    <w:rsid w:val="00D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34D"/>
  <w15:chartTrackingRefBased/>
  <w15:docId w15:val="{F7A4FB04-985C-4309-A494-D849CF4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4F53"/>
    <w:pPr>
      <w:keepNext/>
      <w:keepLines/>
      <w:spacing w:before="40" w:after="120" w:line="48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74F53"/>
    <w:pPr>
      <w:keepNext/>
      <w:keepLines/>
      <w:spacing w:before="120" w:after="120" w:line="48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3E35DE"/>
    <w:pPr>
      <w:keepNext/>
      <w:keepLines/>
      <w:spacing w:before="40" w:after="0" w:line="276" w:lineRule="auto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74F5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274F53"/>
    <w:rPr>
      <w:rFonts w:ascii="Times New Roman" w:eastAsiaTheme="majorEastAsia" w:hAnsi="Times New Roman" w:cstheme="majorBidi"/>
      <w:sz w:val="24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sid w:val="003E35DE"/>
    <w:rPr>
      <w:rFonts w:ascii="Times New Roman" w:eastAsiaTheme="majorEastAsia" w:hAnsi="Times New Roman" w:cstheme="majorBidi"/>
      <w:sz w:val="24"/>
    </w:rPr>
  </w:style>
  <w:style w:type="paragraph" w:styleId="ListeParagraf">
    <w:name w:val="List Paragraph"/>
    <w:basedOn w:val="Normal"/>
    <w:uiPriority w:val="34"/>
    <w:qFormat/>
    <w:rsid w:val="0075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KAYIRGAN</dc:creator>
  <cp:keywords/>
  <dc:description/>
  <cp:lastModifiedBy>casper</cp:lastModifiedBy>
  <cp:revision>8</cp:revision>
  <dcterms:created xsi:type="dcterms:W3CDTF">2020-06-11T07:14:00Z</dcterms:created>
  <dcterms:modified xsi:type="dcterms:W3CDTF">2020-06-11T12:20:00Z</dcterms:modified>
</cp:coreProperties>
</file>